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1CCD7">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电子科学与技术学术学位研究生培养方案</w:t>
      </w:r>
    </w:p>
    <w:tbl>
      <w:tblPr>
        <w:tblStyle w:val="5"/>
        <w:tblW w:w="7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713"/>
        <w:gridCol w:w="2673"/>
        <w:gridCol w:w="1160"/>
        <w:gridCol w:w="2804"/>
      </w:tblGrid>
      <w:tr w14:paraId="4EB0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5077166">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学院</w:t>
            </w:r>
          </w:p>
        </w:tc>
        <w:tc>
          <w:tcPr>
            <w:tcW w:w="2640" w:type="dxa"/>
            <w:shd w:val="clear" w:color="auto" w:fill="auto"/>
            <w:vAlign w:val="center"/>
          </w:tcPr>
          <w:p w14:paraId="156B57EE">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物理科学与技术学院、材料与能源学院</w:t>
            </w:r>
          </w:p>
        </w:tc>
        <w:tc>
          <w:tcPr>
            <w:tcW w:w="960" w:type="dxa"/>
            <w:shd w:val="clear" w:color="auto" w:fill="auto"/>
            <w:vAlign w:val="center"/>
          </w:tcPr>
          <w:p w14:paraId="7DDDF94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一级学科</w:t>
            </w:r>
          </w:p>
        </w:tc>
        <w:tc>
          <w:tcPr>
            <w:tcW w:w="2640" w:type="dxa"/>
            <w:shd w:val="clear" w:color="auto" w:fill="auto"/>
            <w:vAlign w:val="center"/>
          </w:tcPr>
          <w:p w14:paraId="1D6D8860">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(0809)电子科学与技术</w:t>
            </w:r>
          </w:p>
        </w:tc>
      </w:tr>
      <w:tr w14:paraId="30C0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72A4439F">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0" w:type="auto"/>
            <w:shd w:val="clear" w:color="auto" w:fill="auto"/>
            <w:vAlign w:val="center"/>
          </w:tcPr>
          <w:p w14:paraId="278533A9">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全日制</w:t>
            </w:r>
          </w:p>
        </w:tc>
        <w:tc>
          <w:tcPr>
            <w:tcW w:w="0" w:type="auto"/>
            <w:shd w:val="clear" w:color="auto" w:fill="auto"/>
            <w:vAlign w:val="center"/>
          </w:tcPr>
          <w:p w14:paraId="7C97856C">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适用年级</w:t>
            </w:r>
          </w:p>
        </w:tc>
        <w:tc>
          <w:tcPr>
            <w:tcW w:w="0" w:type="auto"/>
            <w:shd w:val="clear" w:color="auto" w:fill="auto"/>
            <w:vAlign w:val="center"/>
          </w:tcPr>
          <w:p w14:paraId="429A78E6">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2021级</w:t>
            </w:r>
          </w:p>
        </w:tc>
      </w:tr>
      <w:tr w14:paraId="3051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F89CBD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覆盖二级学科</w:t>
            </w:r>
          </w:p>
        </w:tc>
        <w:tc>
          <w:tcPr>
            <w:tcW w:w="0" w:type="auto"/>
            <w:gridSpan w:val="3"/>
            <w:shd w:val="clear" w:color="auto" w:fill="auto"/>
            <w:vAlign w:val="center"/>
          </w:tcPr>
          <w:p w14:paraId="4195BD81">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(080900)电子科学与技术;(080901)物理电子学;(080903)微电子学与固体电子学;(080904)电磁场与微波技术;</w:t>
            </w:r>
          </w:p>
        </w:tc>
      </w:tr>
      <w:tr w14:paraId="40C3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07CA4EC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学制年限与</w:t>
            </w:r>
            <w:r>
              <w:rPr>
                <w:rStyle w:val="7"/>
                <w:rFonts w:ascii="宋体" w:hAnsi="宋体" w:eastAsia="宋体" w:cs="宋体"/>
                <w:sz w:val="24"/>
                <w:szCs w:val="24"/>
              </w:rPr>
              <w:br w:type="textWrapping"/>
            </w:r>
            <w:r>
              <w:rPr>
                <w:rStyle w:val="7"/>
                <w:rFonts w:ascii="宋体" w:hAnsi="宋体" w:eastAsia="宋体" w:cs="宋体"/>
                <w:sz w:val="24"/>
                <w:szCs w:val="24"/>
              </w:rPr>
              <w:t>学分要求</w:t>
            </w:r>
          </w:p>
        </w:tc>
        <w:tc>
          <w:tcPr>
            <w:tcW w:w="0" w:type="auto"/>
            <w:gridSpan w:val="3"/>
            <w:shd w:val="clear" w:color="auto" w:fill="auto"/>
            <w:tcMar>
              <w:left w:w="0" w:type="dxa"/>
              <w:right w:w="0" w:type="dxa"/>
            </w:tcMar>
            <w:vAlign w:val="center"/>
          </w:tcPr>
          <w:tbl>
            <w:tblPr>
              <w:tblStyle w:val="5"/>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0"/>
              <w:gridCol w:w="720"/>
              <w:gridCol w:w="1827"/>
              <w:gridCol w:w="1200"/>
              <w:gridCol w:w="960"/>
              <w:gridCol w:w="960"/>
            </w:tblGrid>
            <w:tr w14:paraId="45F641D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960" w:type="dxa"/>
                  <w:shd w:val="clear" w:color="auto" w:fill="auto"/>
                  <w:vAlign w:val="center"/>
                </w:tcPr>
                <w:p w14:paraId="30FFDA1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学生类别</w:t>
                  </w:r>
                </w:p>
              </w:tc>
              <w:tc>
                <w:tcPr>
                  <w:tcW w:w="720" w:type="dxa"/>
                  <w:shd w:val="clear" w:color="auto" w:fill="auto"/>
                  <w:vAlign w:val="center"/>
                </w:tcPr>
                <w:p w14:paraId="263B9331">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w:t>
                  </w:r>
                </w:p>
              </w:tc>
              <w:tc>
                <w:tcPr>
                  <w:tcW w:w="0" w:type="auto"/>
                  <w:shd w:val="clear" w:color="auto" w:fill="auto"/>
                  <w:vAlign w:val="center"/>
                </w:tcPr>
                <w:p w14:paraId="6BCAD7C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最长在学年限</w:t>
                  </w:r>
                </w:p>
              </w:tc>
              <w:tc>
                <w:tcPr>
                  <w:tcW w:w="1200" w:type="dxa"/>
                  <w:shd w:val="clear" w:color="auto" w:fill="auto"/>
                  <w:vAlign w:val="center"/>
                </w:tcPr>
                <w:p w14:paraId="2F5ACF7E">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课程学分</w:t>
                  </w:r>
                </w:p>
              </w:tc>
              <w:tc>
                <w:tcPr>
                  <w:tcW w:w="960" w:type="dxa"/>
                  <w:shd w:val="clear" w:color="auto" w:fill="auto"/>
                  <w:vAlign w:val="center"/>
                </w:tcPr>
                <w:p w14:paraId="50F7042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c>
                <w:tcPr>
                  <w:tcW w:w="960" w:type="dxa"/>
                  <w:shd w:val="clear" w:color="auto" w:fill="auto"/>
                  <w:vAlign w:val="center"/>
                </w:tcPr>
                <w:p w14:paraId="1D8F3DC1">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总学分</w:t>
                  </w:r>
                </w:p>
              </w:tc>
            </w:tr>
            <w:tr w14:paraId="4511715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shd w:val="clear" w:color="auto" w:fill="auto"/>
                  <w:vAlign w:val="center"/>
                </w:tcPr>
                <w:p w14:paraId="4E06E34B">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硕士生</w:t>
                  </w:r>
                </w:p>
              </w:tc>
              <w:tc>
                <w:tcPr>
                  <w:tcW w:w="0" w:type="auto"/>
                  <w:shd w:val="clear" w:color="auto" w:fill="auto"/>
                  <w:vAlign w:val="center"/>
                </w:tcPr>
                <w:p w14:paraId="70C2C5DB">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3年</w:t>
                  </w:r>
                </w:p>
              </w:tc>
              <w:tc>
                <w:tcPr>
                  <w:tcW w:w="0" w:type="auto"/>
                  <w:shd w:val="clear" w:color="auto" w:fill="auto"/>
                  <w:vAlign w:val="center"/>
                </w:tcPr>
                <w:p w14:paraId="7B7EFA1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238B6D03">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27</w:t>
                  </w:r>
                </w:p>
              </w:tc>
              <w:tc>
                <w:tcPr>
                  <w:tcW w:w="0" w:type="auto"/>
                  <w:shd w:val="clear" w:color="auto" w:fill="auto"/>
                  <w:vAlign w:val="center"/>
                </w:tcPr>
                <w:p w14:paraId="55EBA8DC">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630D6635">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33</w:t>
                  </w:r>
                </w:p>
              </w:tc>
            </w:tr>
          </w:tbl>
          <w:p w14:paraId="451433E0">
            <w:pPr>
              <w:jc w:val="center"/>
            </w:pPr>
          </w:p>
        </w:tc>
      </w:tr>
      <w:tr w14:paraId="05CC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8ADD91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培养目标</w:t>
            </w:r>
          </w:p>
        </w:tc>
        <w:tc>
          <w:tcPr>
            <w:tcW w:w="6240" w:type="dxa"/>
            <w:gridSpan w:val="3"/>
            <w:shd w:val="clear" w:color="auto" w:fill="auto"/>
            <w:tcMar>
              <w:top w:w="30" w:type="dxa"/>
              <w:left w:w="30" w:type="dxa"/>
              <w:bottom w:w="30" w:type="dxa"/>
              <w:right w:w="30" w:type="dxa"/>
            </w:tcMar>
            <w:vAlign w:val="center"/>
          </w:tcPr>
          <w:p w14:paraId="10556FAC">
            <w:pPr>
              <w:pStyle w:val="3"/>
              <w:keepNext w:val="0"/>
              <w:keepLines w:val="0"/>
              <w:widowControl/>
              <w:suppressLineNumbers w:val="0"/>
              <w:spacing w:line="300" w:lineRule="atLeast"/>
              <w:jc w:val="both"/>
            </w:pPr>
            <w:r>
              <w:t xml:space="preserve">    以习近平新时代中国特色社会主义思想为指导，全面贯彻党的教育方针，培养德智体美劳全面发展的电子科学与技术专门人才。</w:t>
            </w:r>
          </w:p>
          <w:p w14:paraId="1E1D2A34">
            <w:pPr>
              <w:pStyle w:val="3"/>
              <w:keepNext w:val="0"/>
              <w:keepLines w:val="0"/>
              <w:widowControl/>
              <w:suppressLineNumbers w:val="0"/>
              <w:spacing w:line="300" w:lineRule="atLeast"/>
              <w:jc w:val="both"/>
            </w:pPr>
            <w:r>
              <w:t xml:space="preserve">    本学科学位获得者应具有坚实的数学、物理基础知识，掌握电子科学与技术学科坚实的理论基础及系统的专业知识，掌握相关的实验技术及计算机技术。掌握一门外语。具有从事科学研究工作及独立从事专门技术工作的能力以及严谨求实的科学态度和工作作风，能胜任研究机构、高等院校和产业部门有关方面的教学、研究、工程、开发及管理工作。</w:t>
            </w:r>
          </w:p>
        </w:tc>
      </w:tr>
      <w:tr w14:paraId="6708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1CA89181">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基本要求</w:t>
            </w:r>
          </w:p>
        </w:tc>
        <w:tc>
          <w:tcPr>
            <w:tcW w:w="6240" w:type="dxa"/>
            <w:gridSpan w:val="3"/>
            <w:shd w:val="clear" w:color="auto" w:fill="auto"/>
            <w:tcMar>
              <w:top w:w="30" w:type="dxa"/>
              <w:left w:w="30" w:type="dxa"/>
              <w:bottom w:w="30" w:type="dxa"/>
              <w:right w:w="30" w:type="dxa"/>
            </w:tcMar>
            <w:vAlign w:val="center"/>
          </w:tcPr>
          <w:p w14:paraId="5DE5E97A">
            <w:pPr>
              <w:pStyle w:val="3"/>
              <w:keepNext w:val="0"/>
              <w:keepLines w:val="0"/>
              <w:widowControl/>
              <w:suppressLineNumbers w:val="0"/>
              <w:spacing w:line="300" w:lineRule="atLeast"/>
              <w:jc w:val="both"/>
            </w:pPr>
            <w:r>
              <w:t xml:space="preserve">    ( 一 ）拥护中国共产党的领导，热爱祖国，遵纪守法，具有服务国家和人民的高度社会责任感、良好的职业道德和创业精神、科学严谨和求真务实的学习态度和工作作风，身心健康。</w:t>
            </w:r>
          </w:p>
          <w:p w14:paraId="58CF3144">
            <w:pPr>
              <w:pStyle w:val="3"/>
              <w:keepNext w:val="0"/>
              <w:keepLines w:val="0"/>
              <w:widowControl/>
              <w:suppressLineNumbers w:val="0"/>
              <w:spacing w:line="300" w:lineRule="atLeast"/>
              <w:jc w:val="both"/>
            </w:pPr>
            <w:r>
              <w:t xml:space="preserve">    ( 二 ）掌握电子科学与技术领域坚实的基础理论、宽广的专业知识及管理知识，熟悉行业领域的相关规范，掌握本学科领域技术问题的先进方法和现代手段，在电子科学与技术行业领域的某一方向具有从事科学研究工作及独立从事专门技术工作的能力以及严谨求实的科学态度和工作作风，能胜任研究机构、高等院校和产业部门有关方面的教学、研究、工程、开发及管理工作，具有良好的职业素养。</w:t>
            </w:r>
          </w:p>
          <w:p w14:paraId="49AE02F7">
            <w:pPr>
              <w:pStyle w:val="3"/>
              <w:keepNext w:val="0"/>
              <w:keepLines w:val="0"/>
              <w:widowControl/>
              <w:suppressLineNumbers w:val="0"/>
              <w:spacing w:line="300" w:lineRule="atLeast"/>
              <w:jc w:val="both"/>
            </w:pPr>
            <w:r>
              <w:t xml:space="preserve">    ( 三 ） 掌握一门外国语。</w:t>
            </w:r>
          </w:p>
        </w:tc>
      </w:tr>
      <w:tr w14:paraId="1FE1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111BB494">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培养方向</w:t>
            </w:r>
          </w:p>
        </w:tc>
        <w:tc>
          <w:tcPr>
            <w:tcW w:w="6240" w:type="dxa"/>
            <w:gridSpan w:val="3"/>
            <w:shd w:val="clear" w:color="auto" w:fill="auto"/>
            <w:tcMar>
              <w:top w:w="30" w:type="dxa"/>
              <w:left w:w="30" w:type="dxa"/>
              <w:bottom w:w="30" w:type="dxa"/>
              <w:right w:w="30" w:type="dxa"/>
            </w:tcMar>
            <w:vAlign w:val="center"/>
          </w:tcPr>
          <w:p w14:paraId="364AAD6C">
            <w:pPr>
              <w:pStyle w:val="3"/>
              <w:keepNext w:val="0"/>
              <w:keepLines w:val="0"/>
              <w:widowControl/>
              <w:suppressLineNumbers w:val="0"/>
              <w:spacing w:line="300" w:lineRule="atLeast"/>
              <w:jc w:val="both"/>
            </w:pPr>
            <w:r>
              <w:t xml:space="preserve">    1.微电子学与固体电子学研究方向：主要从事微纳电子器件、光电子器件、功率半导体器件、信息存储器件、集成电路的研究，用于实现信息的产生、处理、传输和存储。本方向在器件物理基础研究和功率半导体器件、光电子器件方面保持长期优势，在材料、结构、工艺以及特性的设计、优化、利用方面具有明显特色， 形成了一系列具有一定影响力创新性成果。</w:t>
            </w:r>
          </w:p>
          <w:p w14:paraId="19F04C24">
            <w:pPr>
              <w:pStyle w:val="3"/>
              <w:keepNext w:val="0"/>
              <w:keepLines w:val="0"/>
              <w:widowControl/>
              <w:suppressLineNumbers w:val="0"/>
              <w:spacing w:line="300" w:lineRule="atLeast"/>
              <w:jc w:val="both"/>
            </w:pPr>
            <w:r>
              <w:t xml:space="preserve">    2.电磁场与微波技术研究方向：电磁场与微波技术方向主要从事电磁场理论、微波光波技术及其工程应用研究，包括电磁场理论与应用、光波导理论与技术、微波毫米波技术与系统、微波毫米波集成技术、光波技术及其应用等。目前在计算电磁学、巨磁阻抗传感器、高频磁性材料及其器件应用方面具有良好基础，在高频磁性测量方面具有明显优势。</w:t>
            </w:r>
          </w:p>
          <w:p w14:paraId="72913791">
            <w:pPr>
              <w:pStyle w:val="3"/>
              <w:keepNext w:val="0"/>
              <w:keepLines w:val="0"/>
              <w:widowControl/>
              <w:suppressLineNumbers w:val="0"/>
              <w:spacing w:line="300" w:lineRule="atLeast"/>
              <w:jc w:val="both"/>
            </w:pPr>
            <w:r>
              <w:t xml:space="preserve">    3.物理电子学研究方向：物理电子学方向主要从事新型信息电子器件（包括自旋电子器件、传感器、类脑计算器件等）、新型光伏器件、储能器件的器件物理、模型、原型器件开发，以及器件性能集成相关的研究工作。经过较长时间的科研积淀，本方向研究人员在相关器件物理和结构设计方面形成了自己的特色，有比较明显的优势。</w:t>
            </w:r>
          </w:p>
        </w:tc>
      </w:tr>
      <w:tr w14:paraId="2CD5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0100890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6240" w:type="dxa"/>
            <w:gridSpan w:val="3"/>
            <w:shd w:val="clear" w:color="auto" w:fill="auto"/>
            <w:tcMar>
              <w:top w:w="30" w:type="dxa"/>
              <w:left w:w="30" w:type="dxa"/>
              <w:bottom w:w="30" w:type="dxa"/>
              <w:right w:w="30" w:type="dxa"/>
            </w:tcMar>
            <w:vAlign w:val="center"/>
          </w:tcPr>
          <w:p w14:paraId="630B12F0">
            <w:pPr>
              <w:pStyle w:val="3"/>
              <w:keepNext w:val="0"/>
              <w:keepLines w:val="0"/>
              <w:widowControl/>
              <w:suppressLineNumbers w:val="0"/>
              <w:spacing w:line="300" w:lineRule="atLeast"/>
              <w:jc w:val="both"/>
            </w:pPr>
            <w:r>
              <w:t xml:space="preserve">    主要采取课程学习、科学研究、学术交流、社会实践相结合的方式，实行导师个别指导或导师小组共同指导的培养方式。</w:t>
            </w:r>
          </w:p>
        </w:tc>
      </w:tr>
      <w:tr w14:paraId="7216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6CF91DC4">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学位论文</w:t>
            </w:r>
          </w:p>
        </w:tc>
        <w:tc>
          <w:tcPr>
            <w:tcW w:w="6240" w:type="dxa"/>
            <w:gridSpan w:val="3"/>
            <w:shd w:val="clear" w:color="auto" w:fill="auto"/>
            <w:tcMar>
              <w:top w:w="30" w:type="dxa"/>
              <w:left w:w="30" w:type="dxa"/>
              <w:bottom w:w="30" w:type="dxa"/>
              <w:right w:w="30" w:type="dxa"/>
            </w:tcMar>
            <w:vAlign w:val="center"/>
          </w:tcPr>
          <w:p w14:paraId="756850DE">
            <w:pPr>
              <w:pStyle w:val="3"/>
              <w:keepNext w:val="0"/>
              <w:keepLines w:val="0"/>
              <w:widowControl/>
              <w:suppressLineNumbers w:val="0"/>
              <w:spacing w:line="300" w:lineRule="atLeast"/>
              <w:jc w:val="both"/>
            </w:pPr>
            <w:r>
              <w:t xml:space="preserve">    学位论文要求按照《兰州大学博士硕士学位论文写作规范》《兰州大学研究生学术道德规范》《兰州大学研究生学位论文学术不端行为检测及处理办法》《兰州大学一级学科博士硕士学位授予标准》《兰州大学博士硕士学位论文评阅办法》《兰州大学博士硕士学位论文答辩要求》执行。学位论文需经学科点匿名预审通过后，方可送外审。</w:t>
            </w:r>
          </w:p>
          <w:p w14:paraId="1F63C16B">
            <w:pPr>
              <w:pStyle w:val="3"/>
              <w:keepNext w:val="0"/>
              <w:keepLines w:val="0"/>
              <w:widowControl/>
              <w:suppressLineNumbers w:val="0"/>
              <w:spacing w:line="300" w:lineRule="atLeast"/>
              <w:jc w:val="both"/>
            </w:pPr>
            <w:r>
              <w:t xml:space="preserve">    硕士研究生学位论文要求能够体现研究生掌握本学科基础理论知识及运用所学知识解决一定的科学问题，对所研究的课题应当有新的见解，申请者具有从事科学研究工作的能力。学位论文必须达到《兰州大学各学科研究生在学期间完成科研成果的基本要求》。</w:t>
            </w:r>
          </w:p>
          <w:p w14:paraId="21A62AD3">
            <w:pPr>
              <w:pStyle w:val="3"/>
              <w:keepNext w:val="0"/>
              <w:keepLines w:val="0"/>
              <w:widowControl/>
              <w:suppressLineNumbers w:val="0"/>
              <w:spacing w:line="300" w:lineRule="atLeast"/>
              <w:jc w:val="both"/>
            </w:pPr>
            <w:r>
              <w:t xml:space="preserve">    博士研究生学位论文要求能够体现研究内容有创造性的成果，申请者具备独立从事科学研究的能力。学位论文必须达到《兰州大学各学科研究生在学期间完成科研成果的基本要求》。</w:t>
            </w:r>
          </w:p>
        </w:tc>
      </w:tr>
      <w:tr w14:paraId="32AD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69E2F14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毕业与学位授予</w:t>
            </w:r>
          </w:p>
        </w:tc>
        <w:tc>
          <w:tcPr>
            <w:tcW w:w="6240" w:type="dxa"/>
            <w:gridSpan w:val="3"/>
            <w:shd w:val="clear" w:color="auto" w:fill="auto"/>
            <w:tcMar>
              <w:top w:w="30" w:type="dxa"/>
              <w:left w:w="30" w:type="dxa"/>
              <w:bottom w:w="30" w:type="dxa"/>
              <w:right w:w="30" w:type="dxa"/>
            </w:tcMar>
            <w:vAlign w:val="center"/>
          </w:tcPr>
          <w:p w14:paraId="390C8E73">
            <w:pPr>
              <w:pStyle w:val="3"/>
              <w:keepNext w:val="0"/>
              <w:keepLines w:val="0"/>
              <w:widowControl/>
              <w:suppressLineNumbers w:val="0"/>
              <w:spacing w:line="300" w:lineRule="atLeast"/>
              <w:jc w:val="both"/>
            </w:pPr>
            <w:r>
              <w:t xml:space="preserve">    研究生在学校规定的学习年限内，修完个人培养计划规定的内容且思想政治素质和品德合格，完成学位论文并通过答辩，学校准予毕业并颁发毕业证书；达到兰州大学学位授予要求的授予相应学位。</w:t>
            </w:r>
          </w:p>
          <w:p w14:paraId="0B71877C">
            <w:pPr>
              <w:pStyle w:val="3"/>
              <w:keepNext w:val="0"/>
              <w:keepLines w:val="0"/>
              <w:widowControl/>
              <w:suppressLineNumbers w:val="0"/>
              <w:spacing w:line="300" w:lineRule="atLeast"/>
              <w:jc w:val="both"/>
            </w:pPr>
            <w:r>
              <w:t xml:space="preserve">    研究生提前修完培养计划规定的内容，经导师和学院同意，允许提前申请学位答辩，答辩通过者准予毕业并颁发毕业证书；达到兰州大学学位授予要求的授予相应学位。</w:t>
            </w:r>
          </w:p>
          <w:p w14:paraId="71F79EB8">
            <w:pPr>
              <w:pStyle w:val="3"/>
              <w:keepNext w:val="0"/>
              <w:keepLines w:val="0"/>
              <w:widowControl/>
              <w:suppressLineNumbers w:val="0"/>
              <w:spacing w:line="300" w:lineRule="atLeast"/>
              <w:jc w:val="both"/>
            </w:pPr>
            <w:r>
              <w:t xml:space="preserve">    研究生修完个人培养计划规定的内容且思想政治素质和品德合格，未达到学位授予要求的，可以向所在培养单位和导师提出申请，单独撰写毕业论文。导师和培养单位如同意，须按照学位论文要求组织毕业论文查重、评阅和答辩，毕业论文答辩通过者，学校准予毕业并颁发毕业证书。</w:t>
            </w:r>
          </w:p>
        </w:tc>
      </w:tr>
      <w:tr w14:paraId="17AD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27E7A51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课程设置与学分要求</w:t>
            </w:r>
          </w:p>
        </w:tc>
      </w:tr>
      <w:tr w14:paraId="4C0C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3"/>
              <w:gridCol w:w="758"/>
              <w:gridCol w:w="1948"/>
              <w:gridCol w:w="437"/>
              <w:gridCol w:w="437"/>
              <w:gridCol w:w="484"/>
              <w:gridCol w:w="1565"/>
              <w:gridCol w:w="748"/>
            </w:tblGrid>
            <w:tr w14:paraId="4778D6B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934CE40">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课程类别</w:t>
                  </w:r>
                  <w:r>
                    <w:rPr>
                      <w:rFonts w:ascii="宋体" w:hAnsi="宋体" w:eastAsia="宋体" w:cs="宋体"/>
                      <w:sz w:val="12"/>
                      <w:szCs w:val="12"/>
                    </w:rPr>
                    <w:br w:type="textWrapping"/>
                  </w:r>
                  <w:r>
                    <w:rPr>
                      <w:rFonts w:ascii="宋体" w:hAnsi="宋体" w:eastAsia="宋体" w:cs="宋体"/>
                      <w:sz w:val="12"/>
                      <w:szCs w:val="12"/>
                    </w:rPr>
                    <w:t>(学分要求)</w:t>
                  </w:r>
                </w:p>
              </w:tc>
              <w:tc>
                <w:tcPr>
                  <w:tcW w:w="800" w:type="dxa"/>
                  <w:shd w:val="clear" w:color="auto" w:fill="auto"/>
                  <w:vAlign w:val="center"/>
                </w:tcPr>
                <w:p w14:paraId="4130C53E">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课程编号</w:t>
                  </w:r>
                </w:p>
              </w:tc>
              <w:tc>
                <w:tcPr>
                  <w:tcW w:w="1250" w:type="dxa"/>
                  <w:shd w:val="clear" w:color="auto" w:fill="auto"/>
                  <w:vAlign w:val="center"/>
                </w:tcPr>
                <w:p w14:paraId="599AC07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课程名称</w:t>
                  </w:r>
                </w:p>
              </w:tc>
              <w:tc>
                <w:tcPr>
                  <w:tcW w:w="480" w:type="dxa"/>
                  <w:shd w:val="clear" w:color="auto" w:fill="auto"/>
                  <w:vAlign w:val="center"/>
                </w:tcPr>
                <w:p w14:paraId="2D7F8D0C">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480" w:type="dxa"/>
                  <w:shd w:val="clear" w:color="auto" w:fill="auto"/>
                  <w:vAlign w:val="center"/>
                </w:tcPr>
                <w:p w14:paraId="0597BF94">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学时</w:t>
                  </w:r>
                </w:p>
              </w:tc>
              <w:tc>
                <w:tcPr>
                  <w:tcW w:w="520" w:type="dxa"/>
                  <w:shd w:val="clear" w:color="auto" w:fill="auto"/>
                  <w:vAlign w:val="center"/>
                </w:tcPr>
                <w:p w14:paraId="6C129DE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开课学期</w:t>
                  </w:r>
                </w:p>
              </w:tc>
              <w:tc>
                <w:tcPr>
                  <w:tcW w:w="1850" w:type="dxa"/>
                  <w:shd w:val="clear" w:color="auto" w:fill="auto"/>
                  <w:vAlign w:val="center"/>
                </w:tcPr>
                <w:p w14:paraId="07A09DD3">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硕士生</w:t>
                  </w:r>
                </w:p>
              </w:tc>
              <w:tc>
                <w:tcPr>
                  <w:tcW w:w="860" w:type="dxa"/>
                  <w:shd w:val="clear" w:color="auto" w:fill="auto"/>
                  <w:vAlign w:val="center"/>
                </w:tcPr>
                <w:p w14:paraId="33D8EAB7">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备注</w:t>
                  </w:r>
                </w:p>
              </w:tc>
            </w:tr>
            <w:tr w14:paraId="50C53AD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2B5EE51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公共必修课</w:t>
                  </w:r>
                </w:p>
                <w:p w14:paraId="119ABA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8学分 </w:t>
                  </w:r>
                </w:p>
              </w:tc>
              <w:tc>
                <w:tcPr>
                  <w:tcW w:w="0" w:type="auto"/>
                  <w:shd w:val="clear" w:color="auto" w:fill="auto"/>
                  <w:vAlign w:val="center"/>
                </w:tcPr>
                <w:p w14:paraId="6E4650D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309011001</w:t>
                  </w:r>
                </w:p>
              </w:tc>
              <w:tc>
                <w:tcPr>
                  <w:tcW w:w="0" w:type="auto"/>
                  <w:shd w:val="clear" w:color="auto" w:fill="auto"/>
                  <w:vAlign w:val="center"/>
                </w:tcPr>
                <w:p w14:paraId="04EE2D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中国马克思主义与当代</w:t>
                  </w:r>
                </w:p>
              </w:tc>
              <w:tc>
                <w:tcPr>
                  <w:tcW w:w="0" w:type="auto"/>
                  <w:shd w:val="clear" w:color="auto" w:fill="auto"/>
                  <w:vAlign w:val="center"/>
                </w:tcPr>
                <w:p w14:paraId="08962C0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97DC2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23ACE9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1850" w:type="dxa"/>
                  <w:shd w:val="clear" w:color="auto" w:fill="auto"/>
                  <w:vAlign w:val="center"/>
                </w:tcPr>
                <w:p w14:paraId="4233CDD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860" w:type="dxa"/>
                  <w:shd w:val="clear" w:color="auto" w:fill="auto"/>
                  <w:vAlign w:val="center"/>
                </w:tcPr>
                <w:p w14:paraId="0E0297AD">
                  <w:pPr>
                    <w:jc w:val="center"/>
                    <w:rPr>
                      <w:rFonts w:hint="eastAsia" w:ascii="宋体"/>
                      <w:sz w:val="10"/>
                      <w:szCs w:val="10"/>
                    </w:rPr>
                  </w:pPr>
                </w:p>
              </w:tc>
            </w:tr>
            <w:tr w14:paraId="6999DF0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DB10B81">
                  <w:pPr>
                    <w:jc w:val="center"/>
                    <w:rPr>
                      <w:rFonts w:hint="eastAsia" w:ascii="宋体"/>
                      <w:sz w:val="10"/>
                      <w:szCs w:val="10"/>
                    </w:rPr>
                  </w:pPr>
                </w:p>
              </w:tc>
              <w:tc>
                <w:tcPr>
                  <w:tcW w:w="0" w:type="auto"/>
                  <w:shd w:val="clear" w:color="auto" w:fill="auto"/>
                  <w:vAlign w:val="center"/>
                </w:tcPr>
                <w:p w14:paraId="304B40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309012001</w:t>
                  </w:r>
                </w:p>
              </w:tc>
              <w:tc>
                <w:tcPr>
                  <w:tcW w:w="0" w:type="auto"/>
                  <w:shd w:val="clear" w:color="auto" w:fill="auto"/>
                  <w:vAlign w:val="center"/>
                </w:tcPr>
                <w:p w14:paraId="4BF8F1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中国特色社会主义理论与实践研究</w:t>
                  </w:r>
                </w:p>
              </w:tc>
              <w:tc>
                <w:tcPr>
                  <w:tcW w:w="0" w:type="auto"/>
                  <w:shd w:val="clear" w:color="auto" w:fill="auto"/>
                  <w:vAlign w:val="center"/>
                </w:tcPr>
                <w:p w14:paraId="5648090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7FB6C4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4BE50FE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1850" w:type="dxa"/>
                  <w:shd w:val="clear" w:color="auto" w:fill="auto"/>
                  <w:vAlign w:val="center"/>
                </w:tcPr>
                <w:p w14:paraId="2938BA8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4C08FEC0">
                  <w:pPr>
                    <w:jc w:val="center"/>
                    <w:rPr>
                      <w:rFonts w:hint="eastAsia" w:ascii="宋体"/>
                      <w:sz w:val="10"/>
                      <w:szCs w:val="10"/>
                    </w:rPr>
                  </w:pPr>
                </w:p>
              </w:tc>
            </w:tr>
            <w:tr w14:paraId="684F59F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7B803C2">
                  <w:pPr>
                    <w:jc w:val="center"/>
                    <w:rPr>
                      <w:rFonts w:hint="eastAsia" w:ascii="宋体"/>
                      <w:sz w:val="10"/>
                      <w:szCs w:val="10"/>
                    </w:rPr>
                  </w:pPr>
                </w:p>
              </w:tc>
              <w:tc>
                <w:tcPr>
                  <w:tcW w:w="0" w:type="auto"/>
                  <w:shd w:val="clear" w:color="auto" w:fill="auto"/>
                  <w:vAlign w:val="center"/>
                </w:tcPr>
                <w:p w14:paraId="005868D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309012002</w:t>
                  </w:r>
                </w:p>
              </w:tc>
              <w:tc>
                <w:tcPr>
                  <w:tcW w:w="0" w:type="auto"/>
                  <w:shd w:val="clear" w:color="auto" w:fill="auto"/>
                  <w:vAlign w:val="center"/>
                </w:tcPr>
                <w:p w14:paraId="21F9C3C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形势与政策</w:t>
                  </w:r>
                </w:p>
              </w:tc>
              <w:tc>
                <w:tcPr>
                  <w:tcW w:w="0" w:type="auto"/>
                  <w:shd w:val="clear" w:color="auto" w:fill="auto"/>
                  <w:vAlign w:val="center"/>
                </w:tcPr>
                <w:p w14:paraId="1EDBAA3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7C2E00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6FF61A77">
                  <w:pPr>
                    <w:jc w:val="center"/>
                    <w:rPr>
                      <w:rFonts w:hint="eastAsia" w:ascii="宋体"/>
                      <w:sz w:val="10"/>
                      <w:szCs w:val="10"/>
                    </w:rPr>
                  </w:pPr>
                </w:p>
              </w:tc>
              <w:tc>
                <w:tcPr>
                  <w:tcW w:w="1850" w:type="dxa"/>
                  <w:shd w:val="clear" w:color="auto" w:fill="auto"/>
                  <w:vAlign w:val="center"/>
                </w:tcPr>
                <w:p w14:paraId="1C4BE21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3AA7087E">
                  <w:pPr>
                    <w:jc w:val="center"/>
                    <w:rPr>
                      <w:rFonts w:hint="eastAsia" w:ascii="宋体"/>
                      <w:sz w:val="10"/>
                      <w:szCs w:val="10"/>
                    </w:rPr>
                  </w:pPr>
                </w:p>
              </w:tc>
            </w:tr>
            <w:tr w14:paraId="077F75E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D273FBA">
                  <w:pPr>
                    <w:jc w:val="center"/>
                    <w:rPr>
                      <w:rFonts w:hint="eastAsia" w:ascii="宋体"/>
                      <w:sz w:val="10"/>
                      <w:szCs w:val="10"/>
                    </w:rPr>
                  </w:pPr>
                </w:p>
              </w:tc>
              <w:tc>
                <w:tcPr>
                  <w:tcW w:w="0" w:type="auto"/>
                  <w:shd w:val="clear" w:color="auto" w:fill="auto"/>
                  <w:vAlign w:val="center"/>
                </w:tcPr>
                <w:p w14:paraId="111ABE9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304012001</w:t>
                  </w:r>
                </w:p>
              </w:tc>
              <w:tc>
                <w:tcPr>
                  <w:tcW w:w="0" w:type="auto"/>
                  <w:shd w:val="clear" w:color="auto" w:fill="auto"/>
                  <w:vAlign w:val="center"/>
                </w:tcPr>
                <w:p w14:paraId="1A71F7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自然辩证法概论</w:t>
                  </w:r>
                </w:p>
              </w:tc>
              <w:tc>
                <w:tcPr>
                  <w:tcW w:w="0" w:type="auto"/>
                  <w:shd w:val="clear" w:color="auto" w:fill="auto"/>
                  <w:vAlign w:val="center"/>
                </w:tcPr>
                <w:p w14:paraId="44D4F81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279B3B8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0E7E781B">
                  <w:pPr>
                    <w:jc w:val="center"/>
                    <w:rPr>
                      <w:rFonts w:hint="eastAsia" w:ascii="宋体"/>
                      <w:sz w:val="10"/>
                      <w:szCs w:val="10"/>
                    </w:rPr>
                  </w:pPr>
                </w:p>
              </w:tc>
              <w:tc>
                <w:tcPr>
                  <w:tcW w:w="1850" w:type="dxa"/>
                  <w:vMerge w:val="restart"/>
                  <w:shd w:val="clear" w:color="auto" w:fill="auto"/>
                  <w:vAlign w:val="center"/>
                </w:tcPr>
                <w:p w14:paraId="6E0D7B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860" w:type="dxa"/>
                  <w:shd w:val="clear" w:color="auto" w:fill="auto"/>
                  <w:vAlign w:val="center"/>
                </w:tcPr>
                <w:p w14:paraId="6E139D3C">
                  <w:pPr>
                    <w:jc w:val="center"/>
                    <w:rPr>
                      <w:rFonts w:hint="eastAsia" w:ascii="宋体"/>
                      <w:sz w:val="10"/>
                      <w:szCs w:val="10"/>
                    </w:rPr>
                  </w:pPr>
                </w:p>
              </w:tc>
            </w:tr>
            <w:tr w14:paraId="69B6156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F1A1270">
                  <w:pPr>
                    <w:jc w:val="center"/>
                    <w:rPr>
                      <w:rFonts w:hint="eastAsia" w:ascii="宋体"/>
                      <w:sz w:val="10"/>
                      <w:szCs w:val="10"/>
                    </w:rPr>
                  </w:pPr>
                </w:p>
              </w:tc>
              <w:tc>
                <w:tcPr>
                  <w:tcW w:w="0" w:type="auto"/>
                  <w:shd w:val="clear" w:color="auto" w:fill="auto"/>
                  <w:vAlign w:val="center"/>
                </w:tcPr>
                <w:p w14:paraId="394B836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304012002</w:t>
                  </w:r>
                </w:p>
              </w:tc>
              <w:tc>
                <w:tcPr>
                  <w:tcW w:w="0" w:type="auto"/>
                  <w:shd w:val="clear" w:color="auto" w:fill="auto"/>
                  <w:vAlign w:val="center"/>
                </w:tcPr>
                <w:p w14:paraId="23097BB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马克思主义与社会科学方法论</w:t>
                  </w:r>
                </w:p>
              </w:tc>
              <w:tc>
                <w:tcPr>
                  <w:tcW w:w="0" w:type="auto"/>
                  <w:shd w:val="clear" w:color="auto" w:fill="auto"/>
                  <w:vAlign w:val="center"/>
                </w:tcPr>
                <w:p w14:paraId="3E5ED26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75DB1D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13B9A081">
                  <w:pPr>
                    <w:jc w:val="center"/>
                    <w:rPr>
                      <w:rFonts w:hint="eastAsia" w:ascii="宋体"/>
                      <w:sz w:val="10"/>
                      <w:szCs w:val="10"/>
                    </w:rPr>
                  </w:pPr>
                </w:p>
              </w:tc>
              <w:tc>
                <w:tcPr>
                  <w:tcW w:w="1850" w:type="dxa"/>
                  <w:vMerge w:val="continue"/>
                  <w:shd w:val="clear" w:color="auto" w:fill="auto"/>
                  <w:vAlign w:val="center"/>
                </w:tcPr>
                <w:p w14:paraId="478DFE39">
                  <w:pPr>
                    <w:jc w:val="center"/>
                    <w:rPr>
                      <w:rFonts w:hint="eastAsia" w:ascii="宋体"/>
                      <w:sz w:val="10"/>
                      <w:szCs w:val="10"/>
                    </w:rPr>
                  </w:pPr>
                </w:p>
              </w:tc>
              <w:tc>
                <w:tcPr>
                  <w:tcW w:w="860" w:type="dxa"/>
                  <w:shd w:val="clear" w:color="auto" w:fill="auto"/>
                  <w:vAlign w:val="center"/>
                </w:tcPr>
                <w:p w14:paraId="2B9F4E52">
                  <w:pPr>
                    <w:jc w:val="center"/>
                    <w:rPr>
                      <w:rFonts w:hint="eastAsia" w:ascii="宋体"/>
                      <w:sz w:val="10"/>
                      <w:szCs w:val="10"/>
                    </w:rPr>
                  </w:pPr>
                </w:p>
              </w:tc>
            </w:tr>
            <w:tr w14:paraId="419EBC4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1D7DA15">
                  <w:pPr>
                    <w:jc w:val="center"/>
                    <w:rPr>
                      <w:rFonts w:hint="eastAsia" w:ascii="宋体"/>
                      <w:sz w:val="10"/>
                      <w:szCs w:val="10"/>
                    </w:rPr>
                  </w:pPr>
                </w:p>
              </w:tc>
              <w:tc>
                <w:tcPr>
                  <w:tcW w:w="0" w:type="auto"/>
                  <w:shd w:val="clear" w:color="auto" w:fill="auto"/>
                  <w:vAlign w:val="center"/>
                </w:tcPr>
                <w:p w14:paraId="450A611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307012001</w:t>
                  </w:r>
                </w:p>
              </w:tc>
              <w:tc>
                <w:tcPr>
                  <w:tcW w:w="0" w:type="auto"/>
                  <w:shd w:val="clear" w:color="auto" w:fill="auto"/>
                  <w:vAlign w:val="center"/>
                </w:tcPr>
                <w:p w14:paraId="242833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综合英语</w:t>
                  </w:r>
                </w:p>
              </w:tc>
              <w:tc>
                <w:tcPr>
                  <w:tcW w:w="0" w:type="auto"/>
                  <w:shd w:val="clear" w:color="auto" w:fill="auto"/>
                  <w:vAlign w:val="center"/>
                </w:tcPr>
                <w:p w14:paraId="59F362B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6C220C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4DACBE18">
                  <w:pPr>
                    <w:jc w:val="center"/>
                    <w:rPr>
                      <w:rFonts w:hint="eastAsia" w:ascii="宋体"/>
                      <w:sz w:val="10"/>
                      <w:szCs w:val="10"/>
                    </w:rPr>
                  </w:pPr>
                </w:p>
              </w:tc>
              <w:tc>
                <w:tcPr>
                  <w:tcW w:w="1850" w:type="dxa"/>
                  <w:vMerge w:val="restart"/>
                  <w:shd w:val="clear" w:color="auto" w:fill="auto"/>
                  <w:vAlign w:val="center"/>
                </w:tcPr>
                <w:p w14:paraId="35D210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860" w:type="dxa"/>
                  <w:shd w:val="clear" w:color="auto" w:fill="auto"/>
                  <w:vAlign w:val="center"/>
                </w:tcPr>
                <w:p w14:paraId="76C061D4">
                  <w:pPr>
                    <w:jc w:val="center"/>
                    <w:rPr>
                      <w:rFonts w:hint="eastAsia" w:ascii="宋体"/>
                      <w:sz w:val="10"/>
                      <w:szCs w:val="10"/>
                    </w:rPr>
                  </w:pPr>
                </w:p>
              </w:tc>
            </w:tr>
            <w:tr w14:paraId="28B5EC0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D68BA00">
                  <w:pPr>
                    <w:jc w:val="center"/>
                    <w:rPr>
                      <w:rFonts w:hint="eastAsia" w:ascii="宋体"/>
                      <w:sz w:val="10"/>
                      <w:szCs w:val="10"/>
                    </w:rPr>
                  </w:pPr>
                </w:p>
              </w:tc>
              <w:tc>
                <w:tcPr>
                  <w:tcW w:w="0" w:type="auto"/>
                  <w:shd w:val="clear" w:color="auto" w:fill="auto"/>
                  <w:vAlign w:val="center"/>
                </w:tcPr>
                <w:p w14:paraId="46E2F99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307012000</w:t>
                  </w:r>
                </w:p>
              </w:tc>
              <w:tc>
                <w:tcPr>
                  <w:tcW w:w="0" w:type="auto"/>
                  <w:shd w:val="clear" w:color="auto" w:fill="auto"/>
                  <w:vAlign w:val="center"/>
                </w:tcPr>
                <w:p w14:paraId="15BD98F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第一外国语（小语种）</w:t>
                  </w:r>
                </w:p>
              </w:tc>
              <w:tc>
                <w:tcPr>
                  <w:tcW w:w="0" w:type="auto"/>
                  <w:shd w:val="clear" w:color="auto" w:fill="auto"/>
                  <w:vAlign w:val="center"/>
                </w:tcPr>
                <w:p w14:paraId="3A39A526">
                  <w:pPr>
                    <w:jc w:val="center"/>
                    <w:rPr>
                      <w:rFonts w:hint="eastAsia" w:ascii="宋体"/>
                      <w:sz w:val="10"/>
                      <w:szCs w:val="10"/>
                    </w:rPr>
                  </w:pPr>
                </w:p>
              </w:tc>
              <w:tc>
                <w:tcPr>
                  <w:tcW w:w="0" w:type="auto"/>
                  <w:shd w:val="clear" w:color="auto" w:fill="auto"/>
                  <w:vAlign w:val="center"/>
                </w:tcPr>
                <w:p w14:paraId="66C32F89">
                  <w:pPr>
                    <w:jc w:val="center"/>
                    <w:rPr>
                      <w:rFonts w:hint="eastAsia" w:ascii="宋体"/>
                      <w:sz w:val="10"/>
                      <w:szCs w:val="10"/>
                    </w:rPr>
                  </w:pPr>
                </w:p>
              </w:tc>
              <w:tc>
                <w:tcPr>
                  <w:tcW w:w="0" w:type="auto"/>
                  <w:shd w:val="clear" w:color="auto" w:fill="auto"/>
                  <w:vAlign w:val="center"/>
                </w:tcPr>
                <w:p w14:paraId="51DEAC3D">
                  <w:pPr>
                    <w:jc w:val="center"/>
                    <w:rPr>
                      <w:rFonts w:hint="eastAsia" w:ascii="宋体"/>
                      <w:sz w:val="10"/>
                      <w:szCs w:val="10"/>
                    </w:rPr>
                  </w:pPr>
                </w:p>
              </w:tc>
              <w:tc>
                <w:tcPr>
                  <w:tcW w:w="1850" w:type="dxa"/>
                  <w:vMerge w:val="continue"/>
                  <w:shd w:val="clear" w:color="auto" w:fill="auto"/>
                  <w:vAlign w:val="center"/>
                </w:tcPr>
                <w:p w14:paraId="47D2797B">
                  <w:pPr>
                    <w:jc w:val="center"/>
                    <w:rPr>
                      <w:rFonts w:hint="eastAsia" w:ascii="宋体"/>
                      <w:sz w:val="10"/>
                      <w:szCs w:val="10"/>
                    </w:rPr>
                  </w:pPr>
                </w:p>
              </w:tc>
              <w:tc>
                <w:tcPr>
                  <w:tcW w:w="860" w:type="dxa"/>
                  <w:shd w:val="clear" w:color="auto" w:fill="auto"/>
                  <w:vAlign w:val="center"/>
                </w:tcPr>
                <w:p w14:paraId="2F5107C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模块课程 </w:t>
                  </w:r>
                </w:p>
              </w:tc>
            </w:tr>
            <w:tr w14:paraId="726F512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54CC899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学科通开课</w:t>
                  </w:r>
                </w:p>
                <w:p w14:paraId="548086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6学分 </w:t>
                  </w:r>
                </w:p>
              </w:tc>
              <w:tc>
                <w:tcPr>
                  <w:tcW w:w="0" w:type="auto"/>
                  <w:shd w:val="clear" w:color="auto" w:fill="auto"/>
                  <w:vAlign w:val="center"/>
                </w:tcPr>
                <w:p w14:paraId="5B06CB3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402132001</w:t>
                  </w:r>
                </w:p>
              </w:tc>
              <w:tc>
                <w:tcPr>
                  <w:tcW w:w="0" w:type="auto"/>
                  <w:shd w:val="clear" w:color="auto" w:fill="auto"/>
                  <w:vAlign w:val="center"/>
                </w:tcPr>
                <w:p w14:paraId="1E17C6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固体电子器件II（现代半导体器件物理）</w:t>
                  </w:r>
                </w:p>
              </w:tc>
              <w:tc>
                <w:tcPr>
                  <w:tcW w:w="0" w:type="auto"/>
                  <w:shd w:val="clear" w:color="auto" w:fill="auto"/>
                  <w:vAlign w:val="center"/>
                </w:tcPr>
                <w:p w14:paraId="6730B47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1CD0D0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3C11112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57D3547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vMerge w:val="restart"/>
                  <w:shd w:val="clear" w:color="auto" w:fill="auto"/>
                  <w:vAlign w:val="center"/>
                </w:tcPr>
                <w:p w14:paraId="4AB0C9D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本硕博贯通课程 </w:t>
                  </w:r>
                </w:p>
              </w:tc>
            </w:tr>
            <w:tr w14:paraId="7281C30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38049FF">
                  <w:pPr>
                    <w:jc w:val="center"/>
                    <w:rPr>
                      <w:rFonts w:hint="eastAsia" w:ascii="宋体"/>
                      <w:sz w:val="10"/>
                      <w:szCs w:val="10"/>
                    </w:rPr>
                  </w:pPr>
                </w:p>
              </w:tc>
              <w:tc>
                <w:tcPr>
                  <w:tcW w:w="0" w:type="auto"/>
                  <w:shd w:val="clear" w:color="auto" w:fill="auto"/>
                  <w:vAlign w:val="center"/>
                </w:tcPr>
                <w:p w14:paraId="6F8386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402132002</w:t>
                  </w:r>
                </w:p>
              </w:tc>
              <w:tc>
                <w:tcPr>
                  <w:tcW w:w="0" w:type="auto"/>
                  <w:shd w:val="clear" w:color="auto" w:fill="auto"/>
                  <w:vAlign w:val="center"/>
                </w:tcPr>
                <w:p w14:paraId="7C0B8C7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微电子制造工艺II（半导体工程学）</w:t>
                  </w:r>
                </w:p>
              </w:tc>
              <w:tc>
                <w:tcPr>
                  <w:tcW w:w="0" w:type="auto"/>
                  <w:shd w:val="clear" w:color="auto" w:fill="auto"/>
                  <w:vAlign w:val="center"/>
                </w:tcPr>
                <w:p w14:paraId="013C8FD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0F120E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62D3D6E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745C131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vMerge w:val="continue"/>
                  <w:shd w:val="clear" w:color="auto" w:fill="auto"/>
                  <w:vAlign w:val="center"/>
                </w:tcPr>
                <w:p w14:paraId="7A0D8C9F">
                  <w:pPr>
                    <w:jc w:val="center"/>
                    <w:rPr>
                      <w:rFonts w:hint="eastAsia" w:ascii="宋体"/>
                      <w:sz w:val="10"/>
                      <w:szCs w:val="10"/>
                    </w:rPr>
                  </w:pPr>
                </w:p>
              </w:tc>
            </w:tr>
            <w:tr w14:paraId="578E338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6630861">
                  <w:pPr>
                    <w:jc w:val="center"/>
                    <w:rPr>
                      <w:rFonts w:hint="eastAsia" w:ascii="宋体"/>
                      <w:sz w:val="10"/>
                      <w:szCs w:val="10"/>
                    </w:rPr>
                  </w:pPr>
                </w:p>
              </w:tc>
              <w:tc>
                <w:tcPr>
                  <w:tcW w:w="0" w:type="auto"/>
                  <w:shd w:val="clear" w:color="auto" w:fill="auto"/>
                  <w:vAlign w:val="center"/>
                </w:tcPr>
                <w:p w14:paraId="632C912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402133001</w:t>
                  </w:r>
                </w:p>
              </w:tc>
              <w:tc>
                <w:tcPr>
                  <w:tcW w:w="0" w:type="auto"/>
                  <w:shd w:val="clear" w:color="auto" w:fill="auto"/>
                  <w:vAlign w:val="center"/>
                </w:tcPr>
                <w:p w14:paraId="6D28DA5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论文写作指导与专业外语</w:t>
                  </w:r>
                </w:p>
              </w:tc>
              <w:tc>
                <w:tcPr>
                  <w:tcW w:w="0" w:type="auto"/>
                  <w:shd w:val="clear" w:color="auto" w:fill="auto"/>
                  <w:vAlign w:val="center"/>
                </w:tcPr>
                <w:p w14:paraId="6155156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714A305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A7F7AF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55EAEDD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2055F5ED">
                  <w:pPr>
                    <w:jc w:val="center"/>
                    <w:rPr>
                      <w:rFonts w:hint="eastAsia" w:ascii="宋体"/>
                      <w:sz w:val="10"/>
                      <w:szCs w:val="10"/>
                    </w:rPr>
                  </w:pPr>
                </w:p>
              </w:tc>
            </w:tr>
            <w:tr w14:paraId="31AD2A5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3691D62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学科方向课</w:t>
                  </w:r>
                </w:p>
                <w:p w14:paraId="1D277C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8学分 </w:t>
                  </w:r>
                </w:p>
              </w:tc>
              <w:tc>
                <w:tcPr>
                  <w:tcW w:w="0" w:type="auto"/>
                  <w:shd w:val="clear" w:color="auto" w:fill="auto"/>
                  <w:vAlign w:val="center"/>
                </w:tcPr>
                <w:p w14:paraId="12C0F3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402112001</w:t>
                  </w:r>
                </w:p>
              </w:tc>
              <w:tc>
                <w:tcPr>
                  <w:tcW w:w="0" w:type="auto"/>
                  <w:shd w:val="clear" w:color="auto" w:fill="auto"/>
                  <w:vAlign w:val="center"/>
                </w:tcPr>
                <w:p w14:paraId="7C40B5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工程伦理</w:t>
                  </w:r>
                </w:p>
              </w:tc>
              <w:tc>
                <w:tcPr>
                  <w:tcW w:w="0" w:type="auto"/>
                  <w:shd w:val="clear" w:color="auto" w:fill="auto"/>
                  <w:vAlign w:val="center"/>
                </w:tcPr>
                <w:p w14:paraId="269E211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3E02F4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463EA0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40123F6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38E4F07">
                  <w:pPr>
                    <w:jc w:val="center"/>
                    <w:rPr>
                      <w:rFonts w:hint="eastAsia" w:ascii="宋体"/>
                      <w:sz w:val="10"/>
                      <w:szCs w:val="10"/>
                    </w:rPr>
                  </w:pPr>
                </w:p>
              </w:tc>
            </w:tr>
            <w:tr w14:paraId="5F82DE9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ABDE997">
                  <w:pPr>
                    <w:jc w:val="center"/>
                    <w:rPr>
                      <w:rFonts w:hint="eastAsia" w:ascii="宋体"/>
                      <w:sz w:val="10"/>
                      <w:szCs w:val="10"/>
                    </w:rPr>
                  </w:pPr>
                </w:p>
              </w:tc>
              <w:tc>
                <w:tcPr>
                  <w:tcW w:w="0" w:type="auto"/>
                  <w:shd w:val="clear" w:color="auto" w:fill="auto"/>
                  <w:vAlign w:val="center"/>
                </w:tcPr>
                <w:p w14:paraId="1A7F72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402142001</w:t>
                  </w:r>
                </w:p>
              </w:tc>
              <w:tc>
                <w:tcPr>
                  <w:tcW w:w="0" w:type="auto"/>
                  <w:shd w:val="clear" w:color="auto" w:fill="auto"/>
                  <w:vAlign w:val="center"/>
                </w:tcPr>
                <w:p w14:paraId="6A3BCE3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数字集成电路设计II</w:t>
                  </w:r>
                </w:p>
              </w:tc>
              <w:tc>
                <w:tcPr>
                  <w:tcW w:w="0" w:type="auto"/>
                  <w:shd w:val="clear" w:color="auto" w:fill="auto"/>
                  <w:vAlign w:val="center"/>
                </w:tcPr>
                <w:p w14:paraId="1830E0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DB0C14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3351F6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065E124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7F2CD04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本硕博贯通课程 </w:t>
                  </w:r>
                </w:p>
              </w:tc>
            </w:tr>
            <w:tr w14:paraId="7549749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0B87314">
                  <w:pPr>
                    <w:jc w:val="center"/>
                    <w:rPr>
                      <w:rFonts w:hint="eastAsia" w:ascii="宋体"/>
                      <w:sz w:val="10"/>
                      <w:szCs w:val="10"/>
                    </w:rPr>
                  </w:pPr>
                </w:p>
              </w:tc>
              <w:tc>
                <w:tcPr>
                  <w:tcW w:w="0" w:type="auto"/>
                  <w:shd w:val="clear" w:color="auto" w:fill="auto"/>
                  <w:vAlign w:val="center"/>
                </w:tcPr>
                <w:p w14:paraId="65B1C4D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402142002</w:t>
                  </w:r>
                </w:p>
              </w:tc>
              <w:tc>
                <w:tcPr>
                  <w:tcW w:w="0" w:type="auto"/>
                  <w:shd w:val="clear" w:color="auto" w:fill="auto"/>
                  <w:vAlign w:val="center"/>
                </w:tcPr>
                <w:p w14:paraId="007E699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半导体器件的数值分析与模拟</w:t>
                  </w:r>
                </w:p>
              </w:tc>
              <w:tc>
                <w:tcPr>
                  <w:tcW w:w="0" w:type="auto"/>
                  <w:shd w:val="clear" w:color="auto" w:fill="auto"/>
                  <w:vAlign w:val="center"/>
                </w:tcPr>
                <w:p w14:paraId="6C8C0D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7794802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3D5F995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6C65F12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6F62EEFA">
                  <w:pPr>
                    <w:jc w:val="center"/>
                    <w:rPr>
                      <w:rFonts w:hint="eastAsia" w:ascii="宋体"/>
                      <w:sz w:val="10"/>
                      <w:szCs w:val="10"/>
                    </w:rPr>
                  </w:pPr>
                </w:p>
              </w:tc>
            </w:tr>
            <w:tr w14:paraId="7F0B0BC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5255E27">
                  <w:pPr>
                    <w:jc w:val="center"/>
                    <w:rPr>
                      <w:rFonts w:hint="eastAsia" w:ascii="宋体"/>
                      <w:sz w:val="10"/>
                      <w:szCs w:val="10"/>
                    </w:rPr>
                  </w:pPr>
                </w:p>
              </w:tc>
              <w:tc>
                <w:tcPr>
                  <w:tcW w:w="0" w:type="auto"/>
                  <w:shd w:val="clear" w:color="auto" w:fill="auto"/>
                  <w:vAlign w:val="center"/>
                </w:tcPr>
                <w:p w14:paraId="464192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402142003</w:t>
                  </w:r>
                </w:p>
              </w:tc>
              <w:tc>
                <w:tcPr>
                  <w:tcW w:w="0" w:type="auto"/>
                  <w:shd w:val="clear" w:color="auto" w:fill="auto"/>
                  <w:vAlign w:val="center"/>
                </w:tcPr>
                <w:p w14:paraId="55059E5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半导体光电子学Ⅱ（现代光电子器件）</w:t>
                  </w:r>
                </w:p>
              </w:tc>
              <w:tc>
                <w:tcPr>
                  <w:tcW w:w="0" w:type="auto"/>
                  <w:shd w:val="clear" w:color="auto" w:fill="auto"/>
                  <w:vAlign w:val="center"/>
                </w:tcPr>
                <w:p w14:paraId="307266C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0D6A01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F458A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1088202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641733D">
                  <w:pPr>
                    <w:jc w:val="center"/>
                    <w:rPr>
                      <w:rFonts w:hint="eastAsia" w:ascii="宋体"/>
                      <w:sz w:val="10"/>
                      <w:szCs w:val="10"/>
                    </w:rPr>
                  </w:pPr>
                </w:p>
              </w:tc>
            </w:tr>
            <w:tr w14:paraId="5B82AC6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03FDC40">
                  <w:pPr>
                    <w:jc w:val="center"/>
                    <w:rPr>
                      <w:rFonts w:hint="eastAsia" w:ascii="宋体"/>
                      <w:sz w:val="10"/>
                      <w:szCs w:val="10"/>
                    </w:rPr>
                  </w:pPr>
                </w:p>
              </w:tc>
              <w:tc>
                <w:tcPr>
                  <w:tcW w:w="0" w:type="auto"/>
                  <w:shd w:val="clear" w:color="auto" w:fill="auto"/>
                  <w:vAlign w:val="center"/>
                </w:tcPr>
                <w:p w14:paraId="4788609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402142004</w:t>
                  </w:r>
                </w:p>
              </w:tc>
              <w:tc>
                <w:tcPr>
                  <w:tcW w:w="0" w:type="auto"/>
                  <w:shd w:val="clear" w:color="auto" w:fill="auto"/>
                  <w:vAlign w:val="center"/>
                </w:tcPr>
                <w:p w14:paraId="61CF8EC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有机电子学</w:t>
                  </w:r>
                </w:p>
              </w:tc>
              <w:tc>
                <w:tcPr>
                  <w:tcW w:w="0" w:type="auto"/>
                  <w:shd w:val="clear" w:color="auto" w:fill="auto"/>
                  <w:vAlign w:val="center"/>
                </w:tcPr>
                <w:p w14:paraId="03BF092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B95B31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AFC10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7D4F922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7C8EE96F">
                  <w:pPr>
                    <w:jc w:val="center"/>
                    <w:rPr>
                      <w:rFonts w:hint="eastAsia" w:ascii="宋体"/>
                      <w:sz w:val="10"/>
                      <w:szCs w:val="10"/>
                    </w:rPr>
                  </w:pPr>
                </w:p>
              </w:tc>
            </w:tr>
            <w:tr w14:paraId="6429361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C782213">
                  <w:pPr>
                    <w:jc w:val="center"/>
                    <w:rPr>
                      <w:rFonts w:hint="eastAsia" w:ascii="宋体"/>
                      <w:sz w:val="10"/>
                      <w:szCs w:val="10"/>
                    </w:rPr>
                  </w:pPr>
                </w:p>
              </w:tc>
              <w:tc>
                <w:tcPr>
                  <w:tcW w:w="0" w:type="auto"/>
                  <w:shd w:val="clear" w:color="auto" w:fill="auto"/>
                  <w:vAlign w:val="center"/>
                </w:tcPr>
                <w:p w14:paraId="67568D7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402143007</w:t>
                  </w:r>
                </w:p>
              </w:tc>
              <w:tc>
                <w:tcPr>
                  <w:tcW w:w="0" w:type="auto"/>
                  <w:shd w:val="clear" w:color="auto" w:fill="auto"/>
                  <w:vAlign w:val="center"/>
                </w:tcPr>
                <w:p w14:paraId="281E695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量子基础IV(磁性量子理论)</w:t>
                  </w:r>
                </w:p>
              </w:tc>
              <w:tc>
                <w:tcPr>
                  <w:tcW w:w="0" w:type="auto"/>
                  <w:shd w:val="clear" w:color="auto" w:fill="auto"/>
                  <w:vAlign w:val="center"/>
                </w:tcPr>
                <w:p w14:paraId="33BF39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142485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A1C50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594EEDB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8674819">
                  <w:pPr>
                    <w:jc w:val="center"/>
                    <w:rPr>
                      <w:rFonts w:hint="eastAsia" w:ascii="宋体"/>
                      <w:sz w:val="10"/>
                      <w:szCs w:val="10"/>
                    </w:rPr>
                  </w:pPr>
                </w:p>
              </w:tc>
            </w:tr>
            <w:tr w14:paraId="3F6E592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6C0D81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研究方向课</w:t>
                  </w:r>
                </w:p>
                <w:p w14:paraId="6BCE82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5学分 </w:t>
                  </w:r>
                </w:p>
              </w:tc>
              <w:tc>
                <w:tcPr>
                  <w:tcW w:w="0" w:type="auto"/>
                  <w:shd w:val="clear" w:color="auto" w:fill="auto"/>
                  <w:vAlign w:val="center"/>
                </w:tcPr>
                <w:p w14:paraId="167049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402152001</w:t>
                  </w:r>
                </w:p>
              </w:tc>
              <w:tc>
                <w:tcPr>
                  <w:tcW w:w="0" w:type="auto"/>
                  <w:shd w:val="clear" w:color="auto" w:fill="auto"/>
                  <w:vAlign w:val="center"/>
                </w:tcPr>
                <w:p w14:paraId="559E36C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微纳光子学</w:t>
                  </w:r>
                </w:p>
              </w:tc>
              <w:tc>
                <w:tcPr>
                  <w:tcW w:w="0" w:type="auto"/>
                  <w:shd w:val="clear" w:color="auto" w:fill="auto"/>
                  <w:vAlign w:val="center"/>
                </w:tcPr>
                <w:p w14:paraId="343C07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3EAD7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8454EA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37013B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440B69B5">
                  <w:pPr>
                    <w:jc w:val="center"/>
                    <w:rPr>
                      <w:rFonts w:hint="eastAsia" w:ascii="宋体"/>
                      <w:sz w:val="10"/>
                      <w:szCs w:val="10"/>
                    </w:rPr>
                  </w:pPr>
                </w:p>
              </w:tc>
            </w:tr>
            <w:tr w14:paraId="0848682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F6C0D33">
                  <w:pPr>
                    <w:jc w:val="center"/>
                    <w:rPr>
                      <w:rFonts w:hint="eastAsia" w:ascii="宋体"/>
                      <w:sz w:val="10"/>
                      <w:szCs w:val="10"/>
                    </w:rPr>
                  </w:pPr>
                </w:p>
              </w:tc>
              <w:tc>
                <w:tcPr>
                  <w:tcW w:w="0" w:type="auto"/>
                  <w:shd w:val="clear" w:color="auto" w:fill="auto"/>
                  <w:vAlign w:val="center"/>
                </w:tcPr>
                <w:p w14:paraId="223F8C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402152003</w:t>
                  </w:r>
                </w:p>
              </w:tc>
              <w:tc>
                <w:tcPr>
                  <w:tcW w:w="0" w:type="auto"/>
                  <w:shd w:val="clear" w:color="auto" w:fill="auto"/>
                  <w:vAlign w:val="center"/>
                </w:tcPr>
                <w:p w14:paraId="470203B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微电子科学与工程概览 </w:t>
                  </w:r>
                </w:p>
              </w:tc>
              <w:tc>
                <w:tcPr>
                  <w:tcW w:w="0" w:type="auto"/>
                  <w:shd w:val="clear" w:color="auto" w:fill="auto"/>
                  <w:vAlign w:val="center"/>
                </w:tcPr>
                <w:p w14:paraId="370A309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7CD74E3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1880FC0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719C2CF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2440303">
                  <w:pPr>
                    <w:jc w:val="center"/>
                    <w:rPr>
                      <w:rFonts w:hint="eastAsia" w:ascii="宋体"/>
                      <w:sz w:val="10"/>
                      <w:szCs w:val="10"/>
                    </w:rPr>
                  </w:pPr>
                </w:p>
              </w:tc>
            </w:tr>
            <w:tr w14:paraId="5DF93F3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B69F9FA">
                  <w:pPr>
                    <w:jc w:val="center"/>
                    <w:rPr>
                      <w:rFonts w:hint="eastAsia" w:ascii="宋体"/>
                      <w:sz w:val="10"/>
                      <w:szCs w:val="10"/>
                    </w:rPr>
                  </w:pPr>
                </w:p>
              </w:tc>
              <w:tc>
                <w:tcPr>
                  <w:tcW w:w="0" w:type="auto"/>
                  <w:shd w:val="clear" w:color="auto" w:fill="auto"/>
                  <w:vAlign w:val="center"/>
                </w:tcPr>
                <w:p w14:paraId="21A90E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402153021</w:t>
                  </w:r>
                </w:p>
              </w:tc>
              <w:tc>
                <w:tcPr>
                  <w:tcW w:w="0" w:type="auto"/>
                  <w:shd w:val="clear" w:color="auto" w:fill="auto"/>
                  <w:vAlign w:val="center"/>
                </w:tcPr>
                <w:p w14:paraId="23EE226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自旋电子学</w:t>
                  </w:r>
                </w:p>
              </w:tc>
              <w:tc>
                <w:tcPr>
                  <w:tcW w:w="0" w:type="auto"/>
                  <w:shd w:val="clear" w:color="auto" w:fill="auto"/>
                  <w:vAlign w:val="center"/>
                </w:tcPr>
                <w:p w14:paraId="6F128C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EFE89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6EC60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0E5DC9A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EA734D7">
                  <w:pPr>
                    <w:jc w:val="center"/>
                    <w:rPr>
                      <w:rFonts w:hint="eastAsia" w:ascii="宋体"/>
                      <w:sz w:val="10"/>
                      <w:szCs w:val="10"/>
                    </w:rPr>
                  </w:pPr>
                </w:p>
              </w:tc>
            </w:tr>
            <w:tr w14:paraId="6420DB8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C0FBB80">
                  <w:pPr>
                    <w:jc w:val="center"/>
                    <w:rPr>
                      <w:rFonts w:hint="eastAsia" w:ascii="宋体"/>
                      <w:sz w:val="10"/>
                      <w:szCs w:val="10"/>
                    </w:rPr>
                  </w:pPr>
                </w:p>
              </w:tc>
              <w:tc>
                <w:tcPr>
                  <w:tcW w:w="0" w:type="auto"/>
                  <w:shd w:val="clear" w:color="auto" w:fill="auto"/>
                  <w:vAlign w:val="center"/>
                </w:tcPr>
                <w:p w14:paraId="554B307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402133006</w:t>
                  </w:r>
                </w:p>
              </w:tc>
              <w:tc>
                <w:tcPr>
                  <w:tcW w:w="0" w:type="auto"/>
                  <w:shd w:val="clear" w:color="auto" w:fill="auto"/>
                  <w:vAlign w:val="center"/>
                </w:tcPr>
                <w:p w14:paraId="66499D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透射电镜及其在前沿研究中的应用(电子显微学I)</w:t>
                  </w:r>
                </w:p>
              </w:tc>
              <w:tc>
                <w:tcPr>
                  <w:tcW w:w="0" w:type="auto"/>
                  <w:shd w:val="clear" w:color="auto" w:fill="auto"/>
                  <w:vAlign w:val="center"/>
                </w:tcPr>
                <w:p w14:paraId="0AE9A3A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F0076F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1B839A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66B55C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D324FCB">
                  <w:pPr>
                    <w:jc w:val="center"/>
                    <w:rPr>
                      <w:rFonts w:hint="eastAsia" w:ascii="宋体"/>
                      <w:sz w:val="10"/>
                      <w:szCs w:val="10"/>
                    </w:rPr>
                  </w:pPr>
                </w:p>
              </w:tc>
            </w:tr>
            <w:tr w14:paraId="2BB51DA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F6781B0">
                  <w:pPr>
                    <w:jc w:val="center"/>
                    <w:rPr>
                      <w:rFonts w:hint="eastAsia" w:ascii="宋体"/>
                      <w:sz w:val="10"/>
                      <w:szCs w:val="10"/>
                    </w:rPr>
                  </w:pPr>
                </w:p>
              </w:tc>
              <w:tc>
                <w:tcPr>
                  <w:tcW w:w="0" w:type="auto"/>
                  <w:shd w:val="clear" w:color="auto" w:fill="auto"/>
                  <w:vAlign w:val="center"/>
                </w:tcPr>
                <w:p w14:paraId="2522A0D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402172005</w:t>
                  </w:r>
                </w:p>
              </w:tc>
              <w:tc>
                <w:tcPr>
                  <w:tcW w:w="0" w:type="auto"/>
                  <w:shd w:val="clear" w:color="auto" w:fill="auto"/>
                  <w:vAlign w:val="center"/>
                </w:tcPr>
                <w:p w14:paraId="5EA876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材料微波测试原理与技术</w:t>
                  </w:r>
                </w:p>
              </w:tc>
              <w:tc>
                <w:tcPr>
                  <w:tcW w:w="0" w:type="auto"/>
                  <w:shd w:val="clear" w:color="auto" w:fill="auto"/>
                  <w:vAlign w:val="center"/>
                </w:tcPr>
                <w:p w14:paraId="15A9CCE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77C0B62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7ABD13B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005380B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358FB91">
                  <w:pPr>
                    <w:jc w:val="center"/>
                    <w:rPr>
                      <w:rFonts w:hint="eastAsia" w:ascii="宋体"/>
                      <w:sz w:val="10"/>
                      <w:szCs w:val="10"/>
                    </w:rPr>
                  </w:pPr>
                </w:p>
              </w:tc>
            </w:tr>
            <w:tr w14:paraId="17A5221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F48ED15">
                  <w:pPr>
                    <w:jc w:val="center"/>
                    <w:rPr>
                      <w:rFonts w:hint="eastAsia" w:ascii="宋体"/>
                      <w:sz w:val="10"/>
                      <w:szCs w:val="10"/>
                    </w:rPr>
                  </w:pPr>
                </w:p>
              </w:tc>
              <w:tc>
                <w:tcPr>
                  <w:tcW w:w="0" w:type="auto"/>
                  <w:shd w:val="clear" w:color="auto" w:fill="auto"/>
                  <w:vAlign w:val="center"/>
                </w:tcPr>
                <w:p w14:paraId="4003F0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402152004</w:t>
                  </w:r>
                </w:p>
              </w:tc>
              <w:tc>
                <w:tcPr>
                  <w:tcW w:w="0" w:type="auto"/>
                  <w:shd w:val="clear" w:color="auto" w:fill="auto"/>
                  <w:vAlign w:val="center"/>
                </w:tcPr>
                <w:p w14:paraId="0CF6A16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集成电路设计基础与工程实践</w:t>
                  </w:r>
                </w:p>
              </w:tc>
              <w:tc>
                <w:tcPr>
                  <w:tcW w:w="0" w:type="auto"/>
                  <w:shd w:val="clear" w:color="auto" w:fill="auto"/>
                  <w:vAlign w:val="center"/>
                </w:tcPr>
                <w:p w14:paraId="3BB4FB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FD7AE3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4DA19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1850" w:type="dxa"/>
                  <w:shd w:val="clear" w:color="auto" w:fill="auto"/>
                  <w:vAlign w:val="center"/>
                </w:tcPr>
                <w:p w14:paraId="7B5087B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D3A09AA">
                  <w:pPr>
                    <w:jc w:val="center"/>
                    <w:rPr>
                      <w:rFonts w:hint="eastAsia" w:ascii="宋体"/>
                      <w:sz w:val="10"/>
                      <w:szCs w:val="10"/>
                    </w:rPr>
                  </w:pPr>
                </w:p>
              </w:tc>
            </w:tr>
          </w:tbl>
          <w:p w14:paraId="0042315F">
            <w:pPr>
              <w:jc w:val="center"/>
            </w:pPr>
          </w:p>
        </w:tc>
      </w:tr>
      <w:tr w14:paraId="156E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09AAED5A">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r>
      <w:tr w14:paraId="4EBB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98"/>
              <w:gridCol w:w="954"/>
              <w:gridCol w:w="1009"/>
              <w:gridCol w:w="1785"/>
              <w:gridCol w:w="871"/>
              <w:gridCol w:w="1623"/>
            </w:tblGrid>
            <w:tr w14:paraId="1BA2E87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6483EEFB">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学生类别</w:t>
                  </w:r>
                </w:p>
              </w:tc>
              <w:tc>
                <w:tcPr>
                  <w:tcW w:w="960" w:type="dxa"/>
                  <w:shd w:val="clear" w:color="auto" w:fill="auto"/>
                  <w:vAlign w:val="center"/>
                </w:tcPr>
                <w:p w14:paraId="729684FE">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环节代码</w:t>
                  </w:r>
                </w:p>
              </w:tc>
              <w:tc>
                <w:tcPr>
                  <w:tcW w:w="960" w:type="dxa"/>
                  <w:shd w:val="clear" w:color="auto" w:fill="auto"/>
                  <w:vAlign w:val="center"/>
                </w:tcPr>
                <w:p w14:paraId="7C6E224E">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环节名称</w:t>
                  </w:r>
                </w:p>
              </w:tc>
              <w:tc>
                <w:tcPr>
                  <w:tcW w:w="1800" w:type="dxa"/>
                  <w:shd w:val="clear" w:color="auto" w:fill="auto"/>
                  <w:vAlign w:val="center"/>
                </w:tcPr>
                <w:p w14:paraId="20E2417D">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内容或要求</w:t>
                  </w:r>
                </w:p>
              </w:tc>
              <w:tc>
                <w:tcPr>
                  <w:tcW w:w="880" w:type="dxa"/>
                  <w:shd w:val="clear" w:color="auto" w:fill="auto"/>
                  <w:vAlign w:val="center"/>
                </w:tcPr>
                <w:p w14:paraId="1642C6A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1640" w:type="dxa"/>
                  <w:shd w:val="clear" w:color="auto" w:fill="auto"/>
                  <w:vAlign w:val="center"/>
                </w:tcPr>
                <w:p w14:paraId="737202FA">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考核时间</w:t>
                  </w:r>
                </w:p>
              </w:tc>
            </w:tr>
            <w:tr w14:paraId="6E82EAC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782D4E9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w:t>
                  </w:r>
                </w:p>
              </w:tc>
              <w:tc>
                <w:tcPr>
                  <w:tcW w:w="0" w:type="auto"/>
                  <w:shd w:val="clear" w:color="auto" w:fill="auto"/>
                  <w:vAlign w:val="center"/>
                </w:tcPr>
                <w:p w14:paraId="761996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SS182001</w:t>
                  </w:r>
                </w:p>
              </w:tc>
              <w:tc>
                <w:tcPr>
                  <w:tcW w:w="0" w:type="auto"/>
                  <w:shd w:val="clear" w:color="auto" w:fill="auto"/>
                  <w:vAlign w:val="center"/>
                </w:tcPr>
                <w:p w14:paraId="03D3DB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147680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该环节是所有研究生确定学位论文选题、提出研究计划的必修环节。所有研究生均须参加开题并通过。研究生的开题报告要求最晚在中期考核前完成。研究生的开题报告应在本学科或相关学科范围内以答辩形式公开进行，由各培养单位召集相关学科专家对开题报告进行综合评估，就课题的研究工作提出具体意见和建议。开题报告未通过者，必须重新开题。开题报告通过后正式进入学位论文阶段。</w:t>
                  </w:r>
                </w:p>
              </w:tc>
              <w:tc>
                <w:tcPr>
                  <w:tcW w:w="0" w:type="auto"/>
                  <w:shd w:val="clear" w:color="auto" w:fill="auto"/>
                  <w:vAlign w:val="center"/>
                </w:tcPr>
                <w:p w14:paraId="32F7490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411AFA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5183B8D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5CC08A9">
                  <w:pPr>
                    <w:jc w:val="center"/>
                    <w:rPr>
                      <w:rFonts w:hint="eastAsia" w:ascii="宋体"/>
                      <w:sz w:val="10"/>
                      <w:szCs w:val="10"/>
                    </w:rPr>
                  </w:pPr>
                </w:p>
              </w:tc>
              <w:tc>
                <w:tcPr>
                  <w:tcW w:w="0" w:type="auto"/>
                  <w:shd w:val="clear" w:color="auto" w:fill="auto"/>
                  <w:vAlign w:val="center"/>
                </w:tcPr>
                <w:p w14:paraId="435A475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SS182002</w:t>
                  </w:r>
                </w:p>
              </w:tc>
              <w:tc>
                <w:tcPr>
                  <w:tcW w:w="0" w:type="auto"/>
                  <w:shd w:val="clear" w:color="auto" w:fill="auto"/>
                  <w:vAlign w:val="center"/>
                </w:tcPr>
                <w:p w14:paraId="78D81FE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50E364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中期考核是全体研究生的必修环节，旨在对照培养方案的要求，从德、智、体、美、劳各方面对研究生的学业进展、学习能力、论文进展、日常表现等进行全面检查，并对其后续学业安排提出意见、建议和要求。所有研究生必须参加中期考核，要求最晚于入学后第四学期完成。中期考核通过者，方可申请学位论文答辩。</w:t>
                  </w:r>
                </w:p>
              </w:tc>
              <w:tc>
                <w:tcPr>
                  <w:tcW w:w="0" w:type="auto"/>
                  <w:shd w:val="clear" w:color="auto" w:fill="auto"/>
                  <w:vAlign w:val="center"/>
                </w:tcPr>
                <w:p w14:paraId="312754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2D49C7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57573AD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67840E8">
                  <w:pPr>
                    <w:jc w:val="center"/>
                    <w:rPr>
                      <w:rFonts w:hint="eastAsia" w:ascii="宋体"/>
                      <w:sz w:val="10"/>
                      <w:szCs w:val="10"/>
                    </w:rPr>
                  </w:pPr>
                </w:p>
              </w:tc>
              <w:tc>
                <w:tcPr>
                  <w:tcW w:w="0" w:type="auto"/>
                  <w:shd w:val="clear" w:color="auto" w:fill="auto"/>
                  <w:vAlign w:val="center"/>
                </w:tcPr>
                <w:p w14:paraId="6D881D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SS182003</w:t>
                  </w:r>
                </w:p>
              </w:tc>
              <w:tc>
                <w:tcPr>
                  <w:tcW w:w="0" w:type="auto"/>
                  <w:shd w:val="clear" w:color="auto" w:fill="auto"/>
                  <w:vAlign w:val="center"/>
                </w:tcPr>
                <w:p w14:paraId="165FC0A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4A743F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术研讨和学术交流是学术学位研究生培养的必修环节。学术研讨（seminar）是导师或导师组对研究生进行日常培养的重要形式，应贯穿于研究生培养全过程。学术研讨由导师或导师指定的人员主持，每1-2周举办一次。每个研究生每学期参加学术研讨的次数不得少于8次。研究生在学期间应进行广泛深入的学术交流，形式包括参加国际国内学术会议、参加学校或学院组织的学术报告或研究生学术年会等的次数每年不得少于1次。详细及补充要求参考物理学院相关补充规定并进行考核。</w:t>
                  </w:r>
                </w:p>
              </w:tc>
              <w:tc>
                <w:tcPr>
                  <w:tcW w:w="0" w:type="auto"/>
                  <w:shd w:val="clear" w:color="auto" w:fill="auto"/>
                  <w:vAlign w:val="center"/>
                </w:tcPr>
                <w:p w14:paraId="4E00C5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51C70F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522BEEE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9CB1972">
                  <w:pPr>
                    <w:jc w:val="center"/>
                    <w:rPr>
                      <w:rFonts w:hint="eastAsia" w:ascii="宋体"/>
                      <w:sz w:val="10"/>
                      <w:szCs w:val="10"/>
                    </w:rPr>
                  </w:pPr>
                </w:p>
              </w:tc>
              <w:tc>
                <w:tcPr>
                  <w:tcW w:w="0" w:type="auto"/>
                  <w:shd w:val="clear" w:color="auto" w:fill="auto"/>
                  <w:vAlign w:val="center"/>
                </w:tcPr>
                <w:p w14:paraId="6CE557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SS182004</w:t>
                  </w:r>
                </w:p>
              </w:tc>
              <w:tc>
                <w:tcPr>
                  <w:tcW w:w="0" w:type="auto"/>
                  <w:shd w:val="clear" w:color="auto" w:fill="auto"/>
                  <w:vAlign w:val="center"/>
                </w:tcPr>
                <w:p w14:paraId="6EE4ED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6C72E5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该环节是学术学位研究生培养的必修环节，由科研训练与实践两部分组成。（1）科研训练环节要求学术学位研究生参与前沿性、探索性科研工作，以高水平系统的科学研究支撑学术学位研究生训练。科研训练的形式可以是参与导师课题、导师指导下的独立研究、承担或参与科研基金项目等。研究生在同一培养阶段应提交至少1篇高质量的科研报告，经导师和学院审核通过后获得1学分。（2）劳动实践旨在培养学术学位研究生利用所学知识服务社会的能力，形式包括教学实践、医疗实践、社会实践、社会调查、科技开发和服务等。经学科点专家考核通过后获得1学分。</w:t>
                  </w:r>
                </w:p>
              </w:tc>
              <w:tc>
                <w:tcPr>
                  <w:tcW w:w="0" w:type="auto"/>
                  <w:shd w:val="clear" w:color="auto" w:fill="auto"/>
                  <w:vAlign w:val="center"/>
                </w:tcPr>
                <w:p w14:paraId="1C839E2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02E93BDF">
                  <w:pPr>
                    <w:jc w:val="center"/>
                    <w:rPr>
                      <w:rFonts w:hint="eastAsia" w:ascii="宋体"/>
                      <w:sz w:val="10"/>
                      <w:szCs w:val="10"/>
                    </w:rPr>
                  </w:pPr>
                </w:p>
              </w:tc>
            </w:tr>
            <w:tr w14:paraId="2ABEC69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6A1B74F">
                  <w:pPr>
                    <w:jc w:val="center"/>
                    <w:rPr>
                      <w:rFonts w:hint="eastAsia" w:ascii="宋体"/>
                      <w:sz w:val="10"/>
                      <w:szCs w:val="10"/>
                    </w:rPr>
                  </w:pPr>
                </w:p>
              </w:tc>
              <w:tc>
                <w:tcPr>
                  <w:tcW w:w="0" w:type="auto"/>
                  <w:shd w:val="clear" w:color="auto" w:fill="auto"/>
                  <w:vAlign w:val="center"/>
                </w:tcPr>
                <w:p w14:paraId="139FE2F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SS182005</w:t>
                  </w:r>
                </w:p>
              </w:tc>
              <w:tc>
                <w:tcPr>
                  <w:tcW w:w="0" w:type="auto"/>
                  <w:shd w:val="clear" w:color="auto" w:fill="auto"/>
                  <w:vAlign w:val="center"/>
                </w:tcPr>
                <w:p w14:paraId="079FA77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4C5196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由导师自行组织。</w:t>
                  </w:r>
                </w:p>
              </w:tc>
              <w:tc>
                <w:tcPr>
                  <w:tcW w:w="0" w:type="auto"/>
                  <w:shd w:val="clear" w:color="auto" w:fill="auto"/>
                  <w:vAlign w:val="center"/>
                </w:tcPr>
                <w:p w14:paraId="2B3DB03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380A31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正式学位答辩开始前 1 个月完成</w:t>
                  </w:r>
                </w:p>
              </w:tc>
            </w:tr>
          </w:tbl>
          <w:p w14:paraId="1985443E">
            <w:pPr>
              <w:jc w:val="center"/>
            </w:pPr>
          </w:p>
        </w:tc>
      </w:tr>
      <w:tr w14:paraId="739C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12901D0D">
            <w:pPr>
              <w:keepNext w:val="0"/>
              <w:keepLines w:val="0"/>
              <w:widowControl/>
              <w:suppressLineNumbers w:val="0"/>
              <w:spacing w:before="0" w:beforeAutospacing="0" w:after="0" w:afterAutospacing="0" w:line="350" w:lineRule="atLeast"/>
              <w:ind w:left="0" w:right="0"/>
              <w:jc w:val="center"/>
              <w:rPr>
                <w:sz w:val="14"/>
                <w:szCs w:val="14"/>
              </w:rPr>
            </w:pPr>
            <w:r>
              <w:rPr>
                <w:rStyle w:val="7"/>
                <w:rFonts w:ascii="宋体" w:hAnsi="宋体" w:eastAsia="宋体" w:cs="宋体"/>
                <w:sz w:val="14"/>
                <w:szCs w:val="14"/>
              </w:rPr>
              <w:t>审核意见</w:t>
            </w:r>
          </w:p>
        </w:tc>
      </w:tr>
      <w:tr w14:paraId="6CCC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3670"/>
              <w:gridCol w:w="3670"/>
            </w:tblGrid>
            <w:tr w14:paraId="3651A0A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3675" w:type="dxa"/>
                  <w:shd w:val="clear" w:color="auto" w:fill="auto"/>
                  <w:vAlign w:val="center"/>
                </w:tcPr>
                <w:p w14:paraId="64C25C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学位评定分委员会（培养指导委员会）意见</w:t>
                  </w:r>
                </w:p>
                <w:p w14:paraId="6C5B6F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0A0E50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学位评定分委员会（培养指导委员会）主席（签名）：</w:t>
                  </w:r>
                </w:p>
                <w:p w14:paraId="547886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0F6EDF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c>
                <w:tcPr>
                  <w:tcW w:w="3675" w:type="dxa"/>
                  <w:shd w:val="clear" w:color="auto" w:fill="auto"/>
                  <w:vAlign w:val="center"/>
                </w:tcPr>
                <w:p w14:paraId="2CF956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学院意见</w:t>
                  </w:r>
                </w:p>
                <w:p w14:paraId="50D56A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189F51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院长（签名）：</w:t>
                  </w:r>
                </w:p>
                <w:p w14:paraId="3B4AE8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73649E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r>
            <w:tr w14:paraId="7ACC993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2"/>
                  <w:shd w:val="clear" w:color="auto" w:fill="auto"/>
                  <w:vAlign w:val="center"/>
                </w:tcPr>
                <w:p w14:paraId="7E7ED9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学位授权点一级学科（专业类别）负责人意见：</w:t>
                  </w:r>
                </w:p>
                <w:p w14:paraId="009AC6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63F3CF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负责人（签名）：</w:t>
                  </w:r>
                </w:p>
                <w:p w14:paraId="73533A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04D232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right"/>
                    <w:rPr>
                      <w:sz w:val="10"/>
                      <w:szCs w:val="10"/>
                    </w:rPr>
                  </w:pPr>
                  <w:r>
                    <w:rPr>
                      <w:rFonts w:ascii="宋体" w:hAnsi="宋体" w:eastAsia="宋体" w:cs="宋体"/>
                      <w:sz w:val="10"/>
                      <w:szCs w:val="10"/>
                    </w:rPr>
                    <w:t>年    月    日</w:t>
                  </w:r>
                </w:p>
              </w:tc>
            </w:tr>
          </w:tbl>
          <w:p w14:paraId="520E81F5">
            <w:pPr>
              <w:jc w:val="center"/>
            </w:pPr>
          </w:p>
        </w:tc>
      </w:tr>
    </w:tbl>
    <w:p w14:paraId="35E5C65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GI5ZDMwNTUxNGFjM2IzNmVlY2Q4ZWJmMGJhZTMifQ=="/>
  </w:docVars>
  <w:rsids>
    <w:rsidRoot w:val="32CE1314"/>
    <w:rsid w:val="32CE1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qFormat/>
    <w:uiPriority w:val="0"/>
    <w:pPr>
      <w:keepNext w:val="0"/>
      <w:keepLines w:val="0"/>
      <w:widowControl/>
      <w:suppressLineNumbers w:val="0"/>
      <w:spacing w:before="0" w:beforeAutospacing="0" w:after="0" w:afterAutospacing="0"/>
      <w:ind w:left="0" w:right="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
    <w:tcPr>
      <w:tcBorders>
        <w:top w:val="single" w:color="auto" w:sz="4" w:space="0"/>
        <w:left w:val="single" w:color="auto" w:sz="4" w:space="0"/>
        <w:bottom w:val="single" w:color="auto" w:sz="4" w:space="0"/>
        <w:right w:val="single" w:color="auto" w:sz="4" w:space="0"/>
      </w:tcBorders>
    </w:tc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2024-11-13T03:24:00Z</dcterms:created>
  <dc:creator>keshi</dc:creator>
  <cp:lastModifiedBy>keshi</cp:lastModifiedBy>
  <dcterms:modified xsi:type="dcterms:W3CDTF">2024-11-13T03:24:20Z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ED4ED41A204740DE98EC5FD45C4A46A0_11</vt:lpwstr>
  </property>
</Properties>
</file>